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方正黑体简体" w:cs="Times New Roman"/>
          <w:b/>
          <w:bCs/>
          <w:color w:val="000000"/>
          <w:kern w:val="0"/>
          <w:sz w:val="32"/>
          <w:szCs w:val="32"/>
        </w:rPr>
      </w:pPr>
      <w:r>
        <w:rPr>
          <w:rFonts w:hint="default" w:ascii="Times New Roman" w:hAnsi="Times New Roman" w:eastAsia="方正黑体简体" w:cs="Times New Roman"/>
          <w:b/>
          <w:bCs/>
          <w:color w:val="000000"/>
          <w:kern w:val="0"/>
          <w:sz w:val="32"/>
          <w:szCs w:val="32"/>
        </w:rPr>
        <w:t>附件1</w:t>
      </w:r>
    </w:p>
    <w:p>
      <w:pPr>
        <w:widowControl/>
        <w:spacing w:line="560" w:lineRule="exact"/>
        <w:jc w:val="left"/>
        <w:rPr>
          <w:rFonts w:hint="default" w:ascii="Times New Roman" w:hAnsi="Times New Roman" w:eastAsia="仿宋_GB2312" w:cs="Times New Roman"/>
          <w:b/>
          <w:bCs/>
          <w:color w:val="000000"/>
          <w:kern w:val="0"/>
          <w:sz w:val="32"/>
          <w:szCs w:val="32"/>
        </w:rPr>
      </w:pPr>
    </w:p>
    <w:p>
      <w:pPr>
        <w:widowControl/>
        <w:spacing w:line="560" w:lineRule="exact"/>
        <w:jc w:val="center"/>
        <w:rPr>
          <w:rFonts w:hint="default" w:ascii="Times New Roman" w:hAnsi="Times New Roman" w:eastAsia="方正小标宋简体" w:cs="Times New Roman"/>
          <w:b/>
          <w:bCs/>
          <w:color w:val="000000"/>
          <w:kern w:val="0"/>
          <w:sz w:val="44"/>
          <w:szCs w:val="44"/>
        </w:rPr>
      </w:pPr>
      <w:r>
        <w:rPr>
          <w:rFonts w:hint="default" w:ascii="Times New Roman" w:hAnsi="Times New Roman" w:eastAsia="方正小标宋简体" w:cs="Times New Roman"/>
          <w:b/>
          <w:bCs/>
          <w:color w:val="000000"/>
          <w:kern w:val="0"/>
          <w:sz w:val="44"/>
          <w:szCs w:val="44"/>
        </w:rPr>
        <w:fldChar w:fldCharType="begin"/>
      </w:r>
      <w:r>
        <w:rPr>
          <w:rFonts w:hint="default" w:ascii="Times New Roman" w:hAnsi="Times New Roman" w:eastAsia="方正小标宋简体" w:cs="Times New Roman"/>
          <w:b/>
          <w:bCs/>
          <w:color w:val="000000"/>
          <w:kern w:val="0"/>
          <w:sz w:val="44"/>
          <w:szCs w:val="44"/>
        </w:rPr>
        <w:instrText xml:space="preserve"> HYPERLINK "http://www.nczx.gov.cn/uptu/1%E5%B8%82%E6%94%BF%E5%8D%8F%E5%85%AD%E5%B1%8A%E4%BA%8C%E6%AC%A1%E4%BC%9A%E8%AE%AE%E6%8F%90%E6%A1%88%E5%8F%82%E8%80%83%E9%80%89%E9%A2%98.doc" </w:instrText>
      </w:r>
      <w:r>
        <w:rPr>
          <w:rFonts w:hint="default" w:ascii="Times New Roman" w:hAnsi="Times New Roman" w:eastAsia="方正小标宋简体" w:cs="Times New Roman"/>
          <w:b/>
          <w:bCs/>
          <w:color w:val="000000"/>
          <w:kern w:val="0"/>
          <w:sz w:val="44"/>
          <w:szCs w:val="44"/>
        </w:rPr>
        <w:fldChar w:fldCharType="separate"/>
      </w:r>
      <w:r>
        <w:rPr>
          <w:rFonts w:hint="default" w:ascii="Times New Roman" w:hAnsi="Times New Roman" w:eastAsia="方正小标宋简体" w:cs="Times New Roman"/>
          <w:b/>
          <w:bCs/>
          <w:color w:val="000000"/>
          <w:kern w:val="0"/>
          <w:sz w:val="44"/>
          <w:szCs w:val="44"/>
        </w:rPr>
        <w:t>县政协十四届五次会议</w:t>
      </w:r>
    </w:p>
    <w:p>
      <w:pPr>
        <w:widowControl/>
        <w:spacing w:line="560" w:lineRule="exact"/>
        <w:jc w:val="center"/>
        <w:rPr>
          <w:rFonts w:hint="default" w:ascii="Times New Roman" w:hAnsi="Times New Roman" w:eastAsia="方正小标宋简体" w:cs="Times New Roman"/>
          <w:b/>
          <w:bCs/>
          <w:color w:val="000000"/>
          <w:kern w:val="0"/>
          <w:sz w:val="44"/>
          <w:szCs w:val="44"/>
        </w:rPr>
      </w:pPr>
      <w:r>
        <w:rPr>
          <w:rFonts w:hint="default" w:ascii="Times New Roman" w:hAnsi="Times New Roman" w:eastAsia="方正小标宋简体" w:cs="Times New Roman"/>
          <w:b/>
          <w:bCs/>
          <w:color w:val="000000"/>
          <w:kern w:val="0"/>
          <w:sz w:val="44"/>
          <w:szCs w:val="44"/>
        </w:rPr>
        <w:t>提案撰写参考方向及</w:t>
      </w:r>
      <w:bookmarkStart w:id="0" w:name="_Hlt61337857"/>
      <w:bookmarkEnd w:id="0"/>
      <w:bookmarkStart w:id="1" w:name="_Hlt61972189"/>
      <w:bookmarkEnd w:id="1"/>
      <w:bookmarkStart w:id="2" w:name="_Hlt61337669"/>
      <w:bookmarkEnd w:id="2"/>
      <w:bookmarkStart w:id="3" w:name="_Hlt61337672"/>
      <w:bookmarkEnd w:id="3"/>
      <w:bookmarkStart w:id="4" w:name="_Hlt61337616"/>
      <w:bookmarkEnd w:id="4"/>
      <w:bookmarkStart w:id="5" w:name="_Hlt61337615"/>
      <w:bookmarkEnd w:id="5"/>
      <w:bookmarkStart w:id="6" w:name="_Hlt61337582"/>
      <w:bookmarkEnd w:id="6"/>
      <w:bookmarkStart w:id="7" w:name="_Hlt61337569"/>
      <w:bookmarkEnd w:id="7"/>
      <w:bookmarkStart w:id="8" w:name="_Hlt61337572"/>
      <w:bookmarkEnd w:id="8"/>
      <w:bookmarkStart w:id="9" w:name="_Hlt61337570"/>
      <w:bookmarkEnd w:id="9"/>
      <w:bookmarkStart w:id="10" w:name="_Hlt61337568"/>
      <w:bookmarkEnd w:id="10"/>
      <w:bookmarkStart w:id="11" w:name="_Hlt61972188"/>
      <w:bookmarkEnd w:id="11"/>
      <w:bookmarkStart w:id="12" w:name="_Hlt61337856"/>
      <w:bookmarkEnd w:id="12"/>
      <w:bookmarkStart w:id="13" w:name="_Hlt61337670"/>
      <w:bookmarkEnd w:id="13"/>
      <w:r>
        <w:rPr>
          <w:rFonts w:hint="default" w:ascii="Times New Roman" w:hAnsi="Times New Roman" w:eastAsia="方正小标宋简体" w:cs="Times New Roman"/>
          <w:b/>
          <w:bCs/>
          <w:color w:val="000000"/>
          <w:kern w:val="0"/>
          <w:sz w:val="44"/>
          <w:szCs w:val="44"/>
        </w:rPr>
        <w:t>选题</w:t>
      </w:r>
      <w:r>
        <w:rPr>
          <w:rFonts w:hint="default" w:ascii="Times New Roman" w:hAnsi="Times New Roman" w:eastAsia="方正小标宋简体" w:cs="Times New Roman"/>
          <w:b/>
          <w:bCs/>
          <w:color w:val="000000"/>
          <w:kern w:val="0"/>
          <w:sz w:val="44"/>
          <w:szCs w:val="44"/>
        </w:rPr>
        <w:fldChar w:fldCharType="end"/>
      </w:r>
      <w:bookmarkStart w:id="14" w:name="_GoBack"/>
      <w:bookmarkEnd w:id="14"/>
    </w:p>
    <w:p>
      <w:pPr>
        <w:widowControl/>
        <w:spacing w:line="560" w:lineRule="exact"/>
        <w:jc w:val="center"/>
        <w:rPr>
          <w:rFonts w:hint="default" w:ascii="Times New Roman" w:hAnsi="Times New Roman" w:eastAsia="楷体_GB2312" w:cs="Times New Roman"/>
          <w:b/>
          <w:bCs/>
          <w:color w:val="000000"/>
          <w:kern w:val="0"/>
          <w:sz w:val="32"/>
          <w:szCs w:val="32"/>
        </w:rPr>
      </w:pP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参考方向及选题主要根据中共南部县委十三届十四次全会安排部署，以及面向社会各界广泛征集的基础上筛选确定，委员也可另行选题经调研后撰写提案。</w:t>
      </w:r>
    </w:p>
    <w:p>
      <w:pPr>
        <w:spacing w:line="560" w:lineRule="exact"/>
        <w:ind w:firstLine="602" w:firstLineChars="200"/>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一、参考方向（可在拟选方向中确定一个具体方面撰写提案，避免宏观笼统）</w:t>
      </w:r>
    </w:p>
    <w:p>
      <w:pPr>
        <w:snapToGrid w:val="0"/>
        <w:spacing w:line="560" w:lineRule="exact"/>
        <w:ind w:left="139" w:leftChars="73" w:firstLine="434" w:firstLineChars="150"/>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b/>
          <w:bCs/>
          <w:spacing w:val="-6"/>
          <w:sz w:val="32"/>
          <w:szCs w:val="32"/>
        </w:rPr>
        <w:t>1、关于扎实做好“六稳”（</w:t>
      </w:r>
      <w:r>
        <w:rPr>
          <w:rFonts w:hint="default" w:ascii="Times New Roman" w:hAnsi="Times New Roman" w:eastAsia="方正仿宋简体" w:cs="Times New Roman"/>
          <w:b/>
          <w:bCs/>
          <w:sz w:val="32"/>
          <w:szCs w:val="32"/>
        </w:rPr>
        <w:t>稳就业、稳金融、稳外贸、稳外资、稳投资、稳预期</w:t>
      </w:r>
      <w:r>
        <w:rPr>
          <w:rFonts w:hint="default" w:ascii="Times New Roman" w:hAnsi="Times New Roman" w:eastAsia="方正仿宋简体" w:cs="Times New Roman"/>
          <w:b/>
          <w:bCs/>
          <w:spacing w:val="-6"/>
          <w:sz w:val="32"/>
          <w:szCs w:val="32"/>
        </w:rPr>
        <w:t>）工作，全面落实“六保”</w:t>
      </w:r>
      <w:r>
        <w:rPr>
          <w:rFonts w:hint="default" w:ascii="Times New Roman" w:hAnsi="Times New Roman" w:eastAsia="方正仿宋简体" w:cs="Times New Roman"/>
          <w:b/>
          <w:bCs/>
          <w:sz w:val="32"/>
          <w:szCs w:val="32"/>
        </w:rPr>
        <w:t>（保居民就业、保基本民生、保市场主体、保粮食能源安全、保产业链供应链稳定、保基层运转）</w:t>
      </w:r>
      <w:r>
        <w:rPr>
          <w:rFonts w:hint="default" w:ascii="Times New Roman" w:hAnsi="Times New Roman" w:eastAsia="方正仿宋简体" w:cs="Times New Roman"/>
          <w:b/>
          <w:bCs/>
          <w:spacing w:val="-6"/>
          <w:sz w:val="32"/>
          <w:szCs w:val="32"/>
        </w:rPr>
        <w:t>任务方面的建议；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color w:val="000000"/>
          <w:kern w:val="0"/>
          <w:sz w:val="32"/>
          <w:szCs w:val="32"/>
        </w:rPr>
        <w:t>2、关于积极</w:t>
      </w:r>
      <w:r>
        <w:rPr>
          <w:rFonts w:hint="default" w:ascii="Times New Roman" w:hAnsi="Times New Roman" w:eastAsia="方正仿宋简体" w:cs="Times New Roman"/>
          <w:b/>
          <w:bCs/>
          <w:sz w:val="32"/>
          <w:szCs w:val="32"/>
        </w:rPr>
        <w:t>融入“双城经济圈”，打造“次极核先行区”方面的建议；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3、关于落实省委“一干多支、五区协同”发展战略，争创全市经济副中心方面的建议；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4、关于实施工业强大会战，抓招引、强培育、优服务方面的建议；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5、关于加强城市建设管理，保畅通、强配套、细管理方面的建议；</w:t>
      </w:r>
    </w:p>
    <w:p>
      <w:pPr>
        <w:spacing w:line="560" w:lineRule="exact"/>
        <w:ind w:firstLine="602" w:firstLineChars="200"/>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color w:val="000000"/>
          <w:kern w:val="0"/>
          <w:sz w:val="32"/>
          <w:szCs w:val="32"/>
        </w:rPr>
        <w:t>关于实施乡村振兴战略</w:t>
      </w:r>
      <w:r>
        <w:rPr>
          <w:rFonts w:hint="default" w:ascii="Times New Roman" w:hAnsi="Times New Roman" w:eastAsia="方正仿宋简体" w:cs="Times New Roman"/>
          <w:b/>
          <w:bCs/>
          <w:sz w:val="32"/>
          <w:szCs w:val="32"/>
        </w:rPr>
        <w:t>（产业振兴、人才振兴、文化振兴、生态振兴、组织振兴）</w:t>
      </w:r>
      <w:r>
        <w:rPr>
          <w:rFonts w:hint="default" w:ascii="Times New Roman" w:hAnsi="Times New Roman" w:eastAsia="方正仿宋简体" w:cs="Times New Roman"/>
          <w:b/>
          <w:bCs/>
          <w:color w:val="000000"/>
          <w:kern w:val="0"/>
          <w:sz w:val="32"/>
          <w:szCs w:val="32"/>
        </w:rPr>
        <w:t>，稳农业、兴农村、富农民方面的建议；</w:t>
      </w:r>
    </w:p>
    <w:p>
      <w:pPr>
        <w:widowControl/>
        <w:spacing w:line="560" w:lineRule="exact"/>
        <w:ind w:firstLine="602" w:firstLineChars="200"/>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b/>
          <w:bCs/>
          <w:sz w:val="32"/>
          <w:szCs w:val="32"/>
        </w:rPr>
        <w:t>7、关</w:t>
      </w:r>
      <w:r>
        <w:rPr>
          <w:rFonts w:hint="default" w:ascii="Times New Roman" w:hAnsi="Times New Roman" w:eastAsia="方正仿宋简体" w:cs="Times New Roman"/>
          <w:b/>
          <w:bCs/>
          <w:spacing w:val="-6"/>
          <w:sz w:val="32"/>
          <w:szCs w:val="32"/>
        </w:rPr>
        <w:t>于全面从严治党，清吏治、正风气、惩贪腐方面的建议；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8、关于争当“三个排头兵”的相关建议；</w:t>
      </w:r>
    </w:p>
    <w:p>
      <w:pPr>
        <w:spacing w:line="560" w:lineRule="exact"/>
        <w:ind w:firstLine="602" w:firstLineChars="200"/>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color w:val="000000"/>
          <w:sz w:val="32"/>
          <w:szCs w:val="32"/>
        </w:rPr>
        <w:t>关于推进基层治理体系和治理能力建设方面的建议；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10、关于深化阆苍南一体化发展、推进阆南仪协作发展的相关建议；</w:t>
      </w:r>
    </w:p>
    <w:p>
      <w:pPr>
        <w:ind w:firstLine="602"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11、关于</w:t>
      </w:r>
      <w:r>
        <w:rPr>
          <w:rFonts w:hint="default" w:ascii="Times New Roman" w:hAnsi="Times New Roman" w:eastAsia="方正仿宋简体" w:cs="Times New Roman"/>
          <w:b/>
          <w:sz w:val="32"/>
          <w:szCs w:val="32"/>
        </w:rPr>
        <w:t>促进“农文旅”融合发展</w:t>
      </w:r>
      <w:r>
        <w:rPr>
          <w:rFonts w:hint="default" w:ascii="Times New Roman" w:hAnsi="Times New Roman" w:eastAsia="方正仿宋简体" w:cs="Times New Roman"/>
          <w:b/>
          <w:bCs/>
          <w:sz w:val="32"/>
          <w:szCs w:val="32"/>
        </w:rPr>
        <w:t>方面的建议；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12、关于积极对接上级政策，提升项目编制精准度，使更多项目挤入国省市笼子的相关建议。</w:t>
      </w:r>
    </w:p>
    <w:p>
      <w:pPr>
        <w:spacing w:line="560" w:lineRule="exact"/>
        <w:ind w:firstLine="602" w:firstLineChars="200"/>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二、参考选题（针对一些较为宏观的选题，可选择一个小切口调研后撰写提案）</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1、关于加强中小学生营养餐质量监管的建议；</w:t>
      </w:r>
    </w:p>
    <w:p>
      <w:pPr>
        <w:snapToGrid w:val="0"/>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2、关于整治“卫生”碗筷不卫生问题的建议；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3、关于新冠疫情下加强乡镇卫生院能力建设的建议；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4、关于加强农村自建房监管的建议；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5、关于加强中小学体育教育的建议；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6、关于推进全民健身设施补短板工程的建议；</w:t>
      </w:r>
    </w:p>
    <w:p>
      <w:pPr>
        <w:pStyle w:val="6"/>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7、关于加强中小学校卫生工作，促进青少年健康成长的建议；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8、关于构建和完善校园健康防疫机制的建议；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9、关于推进全民健康知识教育的建议；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10、关于加强儿童青少年近视防控的建议；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11、关于稳定农业生产，保障粮食安全的建议；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12、关于加大高标准农田建设力度，促进农业高质量发展的建议；</w:t>
      </w:r>
    </w:p>
    <w:p>
      <w:pPr>
        <w:spacing w:line="560" w:lineRule="exact"/>
        <w:ind w:left="567" w:leftChars="297"/>
        <w:rPr>
          <w:rFonts w:hint="default" w:ascii="Times New Roman" w:hAnsi="Times New Roman" w:eastAsia="方正仿宋简体" w:cs="Times New Roman"/>
          <w:b/>
          <w:bCs/>
          <w:sz w:val="32"/>
          <w:szCs w:val="32"/>
          <w:u w:val="single"/>
        </w:rPr>
      </w:pPr>
      <w:r>
        <w:rPr>
          <w:rFonts w:hint="default" w:ascii="Times New Roman" w:hAnsi="Times New Roman" w:eastAsia="方正仿宋简体" w:cs="Times New Roman"/>
          <w:b/>
          <w:bCs/>
          <w:sz w:val="32"/>
          <w:szCs w:val="32"/>
        </w:rPr>
        <w:t>13、关于常态化防止返贫致贫监测预警机制建设的建议；</w:t>
      </w:r>
    </w:p>
    <w:p>
      <w:pPr>
        <w:pStyle w:val="6"/>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14、关于巩固创卫成果，争创国家文明县城的建议；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15、关于加强森林资源培育和管护的建议；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16、关于出台养犬规定，加强养犬管理的建议；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17、关于推进养老院规模化建设和规范化管理的建议；</w:t>
      </w:r>
    </w:p>
    <w:p>
      <w:pPr>
        <w:snapToGrid w:val="0"/>
        <w:spacing w:line="560" w:lineRule="exact"/>
        <w:ind w:firstLine="602" w:firstLineChars="200"/>
        <w:rPr>
          <w:rFonts w:hint="default" w:ascii="Times New Roman" w:hAnsi="Times New Roman" w:eastAsia="方正仿宋简体" w:cs="Times New Roman"/>
          <w:b/>
          <w:bCs/>
          <w:spacing w:val="-8"/>
          <w:sz w:val="32"/>
          <w:szCs w:val="32"/>
        </w:rPr>
      </w:pPr>
      <w:r>
        <w:rPr>
          <w:rFonts w:hint="default" w:ascii="Times New Roman" w:hAnsi="Times New Roman" w:eastAsia="方正仿宋简体" w:cs="Times New Roman"/>
          <w:b/>
          <w:bCs/>
          <w:sz w:val="32"/>
          <w:szCs w:val="32"/>
        </w:rPr>
        <w:t>18、</w:t>
      </w:r>
      <w:r>
        <w:rPr>
          <w:rFonts w:hint="default" w:ascii="Times New Roman" w:hAnsi="Times New Roman" w:eastAsia="方正仿宋简体" w:cs="Times New Roman"/>
          <w:b/>
          <w:bCs/>
          <w:spacing w:val="-8"/>
          <w:sz w:val="32"/>
          <w:szCs w:val="32"/>
        </w:rPr>
        <w:t>关于优化乡村旅游发展规划，大力发展特色乡村旅游的建议；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19、关于发挥行业协会作用，进一步优化营商环境的建议；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20、关于加强司法保障，构建法治化营商环境的建议；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21、关于加强涉企政策宣传，优化营商环境的建议；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22、关于巩固拓展脱贫攻坚成果与乡村振兴有效衔接的建议；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23、关于强化垃圾分类，完善垃圾分类处理设施，巩固城乡环境治理成效的建议；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24、关于学校、家庭协同做好“家校共育”的建议；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25、关于常态化疫情下做好集体活动管理的建议；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26、关于加强全县高层建筑消防安全综合治理的建议；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27、关于进一步规划提升县内景区精品民宿的建议；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28、关于加强医保定点民营医疗机构监督管理的建议；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29、关于加强零售药店规范化管理的建议；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30、关于推进县城交通指挥系统智能化管理的建议；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31、关于加快二次供水立法进程，确保市民饮用水安全的建议；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32、关于聚力招大引强，推动工业高质量发展的建议；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33、关于畅通物流企业与农村经济合作社对接渠道，赋能农产品市场流通的建议；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34、关于加快商品房质量体系建设，推进住房建设秩序平稳良好健康发展，切实提高人民幸福感、归属感的建议；</w:t>
      </w:r>
    </w:p>
    <w:p>
      <w:pPr>
        <w:pStyle w:val="6"/>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color w:val="000000"/>
          <w:kern w:val="0"/>
          <w:sz w:val="32"/>
          <w:szCs w:val="32"/>
        </w:rPr>
        <w:t>35、</w:t>
      </w:r>
      <w:r>
        <w:rPr>
          <w:rFonts w:hint="default" w:ascii="Times New Roman" w:hAnsi="Times New Roman" w:eastAsia="方正仿宋简体" w:cs="Times New Roman"/>
          <w:b/>
          <w:bCs/>
          <w:sz w:val="32"/>
          <w:szCs w:val="32"/>
        </w:rPr>
        <w:t>关于加强商品房销售行为监管的建议；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36、关于合理调配师资布局，解决城乡教育均衡发展的建议；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37、关于乡镇区划调整后优化调整中小学布局的建议；</w:t>
      </w:r>
    </w:p>
    <w:p>
      <w:pPr>
        <w:pStyle w:val="7"/>
        <w:spacing w:line="560" w:lineRule="exact"/>
        <w:ind w:firstLine="602" w:firstLineChars="200"/>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sz w:val="32"/>
          <w:szCs w:val="32"/>
        </w:rPr>
        <w:t>38、</w:t>
      </w:r>
      <w:r>
        <w:rPr>
          <w:rFonts w:hint="default" w:ascii="Times New Roman" w:hAnsi="Times New Roman" w:eastAsia="方正仿宋简体" w:cs="Times New Roman"/>
          <w:b/>
          <w:bCs/>
          <w:kern w:val="0"/>
          <w:sz w:val="32"/>
          <w:szCs w:val="32"/>
        </w:rPr>
        <w:t>关于加强重大项目信息公开力度的建议；</w:t>
      </w:r>
    </w:p>
    <w:p>
      <w:pPr>
        <w:spacing w:line="560" w:lineRule="exact"/>
        <w:ind w:firstLine="602" w:firstLineChars="200"/>
        <w:rPr>
          <w:rFonts w:hint="default" w:ascii="Times New Roman" w:hAnsi="Times New Roman" w:eastAsia="方正仿宋简体" w:cs="Times New Roman"/>
          <w:b/>
          <w:bCs/>
          <w:color w:val="000000"/>
          <w:sz w:val="32"/>
          <w:szCs w:val="32"/>
          <w:shd w:val="clear" w:color="auto" w:fill="FFFFFF"/>
        </w:rPr>
      </w:pPr>
      <w:r>
        <w:rPr>
          <w:rFonts w:hint="default" w:ascii="Times New Roman" w:hAnsi="Times New Roman" w:eastAsia="方正仿宋简体" w:cs="Times New Roman"/>
          <w:b/>
          <w:bCs/>
          <w:sz w:val="32"/>
          <w:szCs w:val="32"/>
        </w:rPr>
        <w:t>39、</w:t>
      </w:r>
      <w:r>
        <w:rPr>
          <w:rFonts w:hint="default" w:ascii="Times New Roman" w:hAnsi="Times New Roman" w:eastAsia="方正仿宋简体" w:cs="Times New Roman"/>
          <w:b/>
          <w:bCs/>
          <w:color w:val="000000"/>
          <w:sz w:val="32"/>
          <w:szCs w:val="32"/>
          <w:shd w:val="clear" w:color="auto" w:fill="FFFFFF"/>
        </w:rPr>
        <w:t>关于防范非法集资行为，确保社会稳定的建议；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40、</w:t>
      </w:r>
      <w:r>
        <w:rPr>
          <w:rFonts w:hint="default" w:ascii="Times New Roman" w:hAnsi="Times New Roman" w:eastAsia="方正仿宋简体" w:cs="Times New Roman"/>
          <w:b/>
          <w:bCs/>
          <w:kern w:val="0"/>
          <w:sz w:val="32"/>
          <w:szCs w:val="32"/>
        </w:rPr>
        <w:t>关于</w:t>
      </w:r>
      <w:r>
        <w:rPr>
          <w:rFonts w:hint="default" w:ascii="Times New Roman" w:hAnsi="Times New Roman" w:eastAsia="方正仿宋简体" w:cs="Times New Roman"/>
          <w:b/>
          <w:bCs/>
          <w:color w:val="000000"/>
          <w:sz w:val="32"/>
          <w:szCs w:val="32"/>
        </w:rPr>
        <w:t>策划全县旅游对外宣传用语，</w:t>
      </w:r>
      <w:r>
        <w:rPr>
          <w:rFonts w:hint="default" w:ascii="Times New Roman" w:hAnsi="Times New Roman" w:eastAsia="方正仿宋简体" w:cs="Times New Roman"/>
          <w:b/>
          <w:bCs/>
          <w:sz w:val="32"/>
          <w:szCs w:val="32"/>
        </w:rPr>
        <w:t>宣传推介南部发展成效</w:t>
      </w:r>
      <w:r>
        <w:rPr>
          <w:rFonts w:hint="default" w:ascii="Times New Roman" w:hAnsi="Times New Roman" w:eastAsia="方正仿宋简体" w:cs="Times New Roman"/>
          <w:b/>
          <w:bCs/>
          <w:color w:val="000000"/>
          <w:sz w:val="32"/>
          <w:szCs w:val="32"/>
        </w:rPr>
        <w:t>的建议</w:t>
      </w:r>
      <w:r>
        <w:rPr>
          <w:rFonts w:hint="default" w:ascii="Times New Roman" w:hAnsi="Times New Roman" w:eastAsia="方正仿宋简体" w:cs="Times New Roman"/>
          <w:b/>
          <w:bCs/>
          <w:sz w:val="32"/>
          <w:szCs w:val="32"/>
        </w:rPr>
        <w:t>；</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41、关于</w:t>
      </w:r>
      <w:r>
        <w:rPr>
          <w:rFonts w:hint="default" w:ascii="Times New Roman" w:hAnsi="Times New Roman" w:eastAsia="方正仿宋简体" w:cs="Times New Roman"/>
          <w:b/>
          <w:bCs/>
          <w:color w:val="000000"/>
          <w:sz w:val="32"/>
          <w:szCs w:val="32"/>
          <w:shd w:val="clear" w:color="auto" w:fill="FFFFFF"/>
        </w:rPr>
        <w:t>培育多样性城市文化的建议；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42、关于加强传统文化教育，培养文化自信的建议；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43、关于加强青少年科普教育基地建设的建议；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44、关于抽松老城、增建城区停车场，缓解停车难的建议；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45、关于推进城市“双修”和老旧小区改造的建议；</w:t>
      </w:r>
    </w:p>
    <w:p>
      <w:pPr>
        <w:snapToGrid w:val="0"/>
        <w:spacing w:line="560" w:lineRule="exact"/>
        <w:ind w:firstLine="602" w:firstLineChars="200"/>
        <w:rPr>
          <w:rFonts w:hint="default" w:ascii="Times New Roman" w:hAnsi="Times New Roman" w:eastAsia="方正仿宋简体" w:cs="Times New Roman"/>
          <w:b/>
          <w:bCs/>
          <w:sz w:val="32"/>
          <w:szCs w:val="32"/>
          <w:u w:val="single"/>
        </w:rPr>
      </w:pPr>
      <w:r>
        <w:rPr>
          <w:rFonts w:hint="default" w:ascii="Times New Roman" w:hAnsi="Times New Roman" w:eastAsia="方正仿宋简体" w:cs="Times New Roman"/>
          <w:b/>
          <w:bCs/>
          <w:sz w:val="32"/>
          <w:szCs w:val="32"/>
        </w:rPr>
        <w:t>46、关于“退城还配套”，推动老城管网下地、雨污分流、海绵化改造方面的建议；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47、</w:t>
      </w:r>
      <w:r>
        <w:rPr>
          <w:rFonts w:hint="default" w:ascii="Times New Roman" w:hAnsi="Times New Roman" w:eastAsia="方正仿宋简体" w:cs="Times New Roman"/>
          <w:b/>
          <w:bCs/>
          <w:kern w:val="0"/>
          <w:sz w:val="32"/>
          <w:szCs w:val="32"/>
        </w:rPr>
        <w:t>关于</w:t>
      </w:r>
      <w:r>
        <w:rPr>
          <w:rFonts w:hint="default" w:ascii="Times New Roman" w:hAnsi="Times New Roman" w:eastAsia="方正仿宋简体" w:cs="Times New Roman"/>
          <w:b/>
          <w:bCs/>
          <w:color w:val="000000"/>
          <w:sz w:val="32"/>
          <w:szCs w:val="32"/>
        </w:rPr>
        <w:t>加强</w:t>
      </w:r>
      <w:r>
        <w:rPr>
          <w:rFonts w:hint="default" w:ascii="Times New Roman" w:hAnsi="Times New Roman" w:eastAsia="方正仿宋简体" w:cs="Times New Roman"/>
          <w:b/>
          <w:bCs/>
          <w:sz w:val="32"/>
          <w:szCs w:val="32"/>
        </w:rPr>
        <w:t>互联网食品、</w:t>
      </w:r>
      <w:r>
        <w:rPr>
          <w:rFonts w:hint="default" w:ascii="Times New Roman" w:hAnsi="Times New Roman" w:eastAsia="方正仿宋简体" w:cs="Times New Roman"/>
          <w:b/>
          <w:bCs/>
          <w:color w:val="000000"/>
          <w:sz w:val="32"/>
          <w:szCs w:val="32"/>
        </w:rPr>
        <w:t>外卖餐饮食品安全监管的建议；</w:t>
      </w:r>
    </w:p>
    <w:p>
      <w:pPr>
        <w:spacing w:line="560" w:lineRule="exact"/>
        <w:ind w:firstLine="602" w:firstLineChars="200"/>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sz w:val="32"/>
          <w:szCs w:val="32"/>
        </w:rPr>
        <w:t>48、</w:t>
      </w:r>
      <w:r>
        <w:rPr>
          <w:rFonts w:hint="default" w:ascii="Times New Roman" w:hAnsi="Times New Roman" w:eastAsia="方正仿宋简体" w:cs="Times New Roman"/>
          <w:b/>
          <w:bCs/>
          <w:color w:val="000000"/>
          <w:sz w:val="32"/>
          <w:szCs w:val="32"/>
        </w:rPr>
        <w:t>关于加强校园周边小吃摊点安全卫生监管的建议；</w:t>
      </w:r>
    </w:p>
    <w:p>
      <w:pPr>
        <w:spacing w:line="560" w:lineRule="exact"/>
        <w:ind w:firstLine="602" w:firstLineChars="200"/>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sz w:val="32"/>
          <w:szCs w:val="32"/>
        </w:rPr>
        <w:t>49、关于</w:t>
      </w:r>
      <w:r>
        <w:rPr>
          <w:rFonts w:hint="default" w:ascii="Times New Roman" w:hAnsi="Times New Roman" w:eastAsia="方正仿宋简体" w:cs="Times New Roman"/>
          <w:b/>
          <w:bCs/>
          <w:color w:val="000000"/>
          <w:kern w:val="0"/>
          <w:sz w:val="32"/>
          <w:szCs w:val="32"/>
        </w:rPr>
        <w:t>加大禁毒、治赌工作力度</w:t>
      </w:r>
      <w:r>
        <w:rPr>
          <w:rFonts w:hint="default" w:ascii="Times New Roman" w:hAnsi="Times New Roman" w:eastAsia="方正仿宋简体" w:cs="Times New Roman"/>
          <w:b/>
          <w:bCs/>
          <w:color w:val="000000"/>
          <w:sz w:val="32"/>
          <w:szCs w:val="32"/>
        </w:rPr>
        <w:t>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color w:val="000000"/>
          <w:sz w:val="32"/>
          <w:szCs w:val="32"/>
        </w:rPr>
        <w:t>50、</w:t>
      </w:r>
      <w:r>
        <w:rPr>
          <w:rFonts w:hint="default" w:ascii="Times New Roman" w:hAnsi="Times New Roman" w:eastAsia="方正仿宋简体" w:cs="Times New Roman"/>
          <w:b/>
          <w:bCs/>
          <w:sz w:val="32"/>
          <w:szCs w:val="32"/>
        </w:rPr>
        <w:t>关于进一步加大高校毕业学生创业扶持力度的建议；</w:t>
      </w:r>
    </w:p>
    <w:p>
      <w:pPr>
        <w:snapToGrid w:val="0"/>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color w:val="000000"/>
          <w:sz w:val="32"/>
          <w:szCs w:val="32"/>
        </w:rPr>
        <w:t>51、</w:t>
      </w:r>
      <w:r>
        <w:rPr>
          <w:rFonts w:hint="default" w:ascii="Times New Roman" w:hAnsi="Times New Roman" w:eastAsia="方正仿宋简体" w:cs="Times New Roman"/>
          <w:b/>
          <w:bCs/>
          <w:sz w:val="32"/>
          <w:szCs w:val="32"/>
        </w:rPr>
        <w:t>关于加大物业企业监管力度，提升物业服务水平的建议；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color w:val="000000"/>
          <w:sz w:val="32"/>
          <w:szCs w:val="32"/>
        </w:rPr>
        <w:t>52、</w:t>
      </w:r>
      <w:r>
        <w:rPr>
          <w:rFonts w:hint="default" w:ascii="Times New Roman" w:hAnsi="Times New Roman" w:eastAsia="方正仿宋简体" w:cs="Times New Roman"/>
          <w:b/>
          <w:bCs/>
          <w:sz w:val="32"/>
          <w:szCs w:val="32"/>
        </w:rPr>
        <w:t>关于完善中小学课后服务制度的建议；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53、</w:t>
      </w:r>
      <w:r>
        <w:rPr>
          <w:rFonts w:hint="default" w:ascii="Times New Roman" w:hAnsi="Times New Roman" w:eastAsia="方正仿宋简体" w:cs="Times New Roman"/>
          <w:b/>
          <w:bCs/>
          <w:kern w:val="0"/>
          <w:sz w:val="32"/>
          <w:szCs w:val="32"/>
        </w:rPr>
        <w:t>关于规范发展、</w:t>
      </w:r>
      <w:r>
        <w:rPr>
          <w:rFonts w:hint="default" w:ascii="Times New Roman" w:hAnsi="Times New Roman" w:eastAsia="方正仿宋简体" w:cs="Times New Roman"/>
          <w:b/>
          <w:bCs/>
          <w:sz w:val="32"/>
          <w:szCs w:val="32"/>
        </w:rPr>
        <w:t>依法管理行业协会、中介服务、咨询服务等社会组织的建议；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54、关于加强嘉陵江南部段两岸垂钓、游泳管理，确保两岸及水资源不被污染的建议；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55、关于发挥异地商会作用，助推南部对外开放的建议；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56、关于加强校外培训机构（补习班）专项治理的建议；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57、关于大力解决“上学难”“大班额”的建议；</w:t>
      </w:r>
    </w:p>
    <w:p>
      <w:pPr>
        <w:snapToGrid w:val="0"/>
        <w:spacing w:line="560" w:lineRule="exact"/>
        <w:ind w:firstLine="570"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pacing w:val="-8"/>
          <w:sz w:val="32"/>
          <w:szCs w:val="32"/>
        </w:rPr>
        <w:t>58、关于</w:t>
      </w:r>
      <w:r>
        <w:rPr>
          <w:rFonts w:hint="default" w:ascii="Times New Roman" w:hAnsi="Times New Roman" w:eastAsia="方正仿宋简体" w:cs="Times New Roman"/>
          <w:b/>
          <w:bCs/>
          <w:sz w:val="32"/>
          <w:szCs w:val="32"/>
        </w:rPr>
        <w:t>重点扶持家庭农场、农民合作社、农业企业等新型农业服务经营组织的建议；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59、关于盘活用好乡镇行政区划调整后国有闲置资产的建议；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60、关于激发消费潜力促进消费扩容提质的建议；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61、关于规范有序发展“地摊经济”的建议；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62、关于加快建设应急管理大数据平台的建议；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63、关于加强一站式多元解纷和诉讼服务体系建设的建议；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64、关于夯实民主协商平台，提升多元共治实效，构建共治共建共享基层治理格局的建议；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65、关于深入推进社会信用体系建设的建议；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66、关于加强个人信息安全保护的建议；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67、关于保障快递行业从业者权益的建议；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68、关于加强全县文物保护工作的建议；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69、关于加强非物质文化遗产活化利用的建议；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70、关于推进文化场馆建设与功能提升的建议；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71、关于加快乡镇区划调整后广播电视互联互通的建议；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72、关于进一步健全公共卫生应急管理体系的建议；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73、关于强化医疗卫生物资储备的建议；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74、关于加大违法广告查处力度的建议；</w:t>
      </w:r>
    </w:p>
    <w:p>
      <w:pPr>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75、关于加大晚熟柑橘后续管护力度的建议;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76、关于新建小区配套规划建设幼儿园的建议；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77、关于加强电梯质量安全专项整治的建议；</w:t>
      </w:r>
    </w:p>
    <w:p>
      <w:pPr>
        <w:snapToGrid w:val="0"/>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78、关于加强餐饮业油烟净化器安装监管的建议；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79、关于加强城区洗车场科学规划和规范管理的建议；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80、关于以政策赋能推进县内行业商(协)会健康发展的建议；</w:t>
      </w:r>
    </w:p>
    <w:p>
      <w:pPr>
        <w:snapToGrid w:val="0"/>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81、关于加大政府引导力度高质量发展节会经济的建议；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82、关于争取政策支持，加快老旧小区加装电梯的建议；</w:t>
      </w:r>
    </w:p>
    <w:p>
      <w:pPr>
        <w:spacing w:line="560" w:lineRule="exact"/>
        <w:ind w:firstLine="590" w:firstLineChars="196"/>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83、关于加强基层宗教工作网格化建设的建议；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84、关于加快推进金鱼溪生态治理的建议；</w:t>
      </w:r>
    </w:p>
    <w:p>
      <w:pPr>
        <w:widowControl/>
        <w:spacing w:line="560" w:lineRule="exact"/>
        <w:ind w:firstLine="60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85、关于提档升级灵云山、桂博园等城市公园方面的建议。</w:t>
      </w:r>
    </w:p>
    <w:p/>
    <w:sectPr>
      <w:pgSz w:w="11905" w:h="16838"/>
      <w:pgMar w:top="2098" w:right="1417" w:bottom="1984" w:left="1531" w:header="851" w:footer="1417" w:gutter="0"/>
      <w:cols w:space="0" w:num="1"/>
      <w:rtlGutter w:val="0"/>
      <w:docGrid w:type="linesAndChars" w:linePitch="626" w:charSpace="-3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B4066"/>
    <w:rsid w:val="0CBC7BAD"/>
    <w:rsid w:val="10EC3AA4"/>
    <w:rsid w:val="183E38AA"/>
    <w:rsid w:val="1A1122CE"/>
    <w:rsid w:val="21B2437D"/>
    <w:rsid w:val="225D71AA"/>
    <w:rsid w:val="3B8D52E7"/>
    <w:rsid w:val="46402152"/>
    <w:rsid w:val="4E3313AC"/>
    <w:rsid w:val="56DD506C"/>
    <w:rsid w:val="58A70564"/>
    <w:rsid w:val="59804902"/>
    <w:rsid w:val="5CF63487"/>
    <w:rsid w:val="5CFD60E6"/>
    <w:rsid w:val="5F97562E"/>
    <w:rsid w:val="6B2B508C"/>
    <w:rsid w:val="76381953"/>
    <w:rsid w:val="79A0669B"/>
    <w:rsid w:val="7C3F7876"/>
    <w:rsid w:val="7D8D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w:basedOn w:val="1"/>
    <w:qFormat/>
    <w:uiPriority w:val="0"/>
    <w:pPr>
      <w:spacing w:after="120" w:afterLines="0" w:afterAutospacing="0"/>
    </w:pPr>
  </w:style>
  <w:style w:type="paragraph" w:customStyle="1" w:styleId="6">
    <w:name w:val="正文 New New New New New"/>
    <w:uiPriority w:val="0"/>
    <w:pPr>
      <w:widowControl w:val="0"/>
      <w:jc w:val="both"/>
    </w:pPr>
    <w:rPr>
      <w:rFonts w:ascii="Calibri" w:hAnsi="Calibri" w:eastAsia="宋体" w:cs="Times New Roman"/>
      <w:kern w:val="2"/>
      <w:sz w:val="21"/>
      <w:lang w:val="en-US" w:eastAsia="zh-CN" w:bidi="ar-SA"/>
    </w:rPr>
  </w:style>
  <w:style w:type="paragraph" w:customStyle="1" w:styleId="7">
    <w:name w:val="正文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jessen</cp:lastModifiedBy>
  <dcterms:modified xsi:type="dcterms:W3CDTF">2021-01-27T07:39:15Z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665842985_cloud</vt:lpwstr>
  </property>
</Properties>
</file>